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53E35" w14:textId="0BCE0EA1" w:rsidR="00574CAB" w:rsidRPr="00492EEB" w:rsidRDefault="00492EEB" w:rsidP="00574CAB">
      <w:pPr>
        <w:spacing w:before="120" w:after="60"/>
        <w:jc w:val="center"/>
        <w:rPr>
          <w:rFonts w:ascii="GHEA Grapalat" w:hAnsi="GHEA Grapalat" w:cs="Arial"/>
          <w:b/>
          <w:sz w:val="24"/>
          <w:szCs w:val="24"/>
          <w:u w:val="single"/>
          <w:lang w:val="hy-AM"/>
        </w:rPr>
      </w:pPr>
      <w:r w:rsidRPr="00492EEB">
        <w:rPr>
          <w:rFonts w:ascii="GHEA Grapalat" w:hAnsi="GHEA Grapalat" w:cs="Arial"/>
          <w:b/>
          <w:sz w:val="24"/>
          <w:szCs w:val="24"/>
          <w:u w:val="single"/>
          <w:lang w:val="hy-AM"/>
        </w:rPr>
        <w:t>Լ</w:t>
      </w:r>
      <w:r w:rsidR="00574CAB" w:rsidRPr="00492EEB">
        <w:rPr>
          <w:rFonts w:ascii="GHEA Grapalat" w:hAnsi="GHEA Grapalat" w:cs="Arial"/>
          <w:b/>
          <w:sz w:val="24"/>
          <w:szCs w:val="24"/>
          <w:u w:val="single"/>
          <w:lang w:val="hy-AM"/>
        </w:rPr>
        <w:t>ուսատուների տեխնիկական բնութագիր</w:t>
      </w:r>
    </w:p>
    <w:p w14:paraId="75C65165" w14:textId="77777777" w:rsidR="00027E69" w:rsidRPr="00574CAB" w:rsidRDefault="00027E69" w:rsidP="00574CAB">
      <w:pPr>
        <w:spacing w:before="120" w:after="60"/>
        <w:jc w:val="center"/>
        <w:rPr>
          <w:rFonts w:ascii="GHEA Grapalat" w:hAnsi="GHEA Grapalat" w:cs="Arial"/>
          <w:b/>
          <w:sz w:val="24"/>
          <w:szCs w:val="24"/>
          <w:u w:val="single"/>
          <w:lang w:val="hy-AM"/>
        </w:rPr>
      </w:pPr>
    </w:p>
    <w:p w14:paraId="4D6FAB6A" w14:textId="199B8C5A" w:rsidR="00046617" w:rsidRDefault="00574CAB" w:rsidP="00046617">
      <w:pPr>
        <w:spacing w:after="240" w:line="240" w:lineRule="auto"/>
        <w:jc w:val="both"/>
        <w:rPr>
          <w:rFonts w:ascii="GHEA Grapalat" w:hAnsi="GHEA Grapalat" w:cs="Arial"/>
          <w:lang w:val="hy-AM" w:eastAsia="en-GB"/>
        </w:rPr>
      </w:pPr>
      <w:r w:rsidRPr="00C86389">
        <w:rPr>
          <w:rFonts w:ascii="GHEA Grapalat" w:hAnsi="GHEA Grapalat" w:cs="Arial"/>
          <w:lang w:val="hy-AM" w:eastAsia="en-GB"/>
        </w:rPr>
        <w:t xml:space="preserve">Հայաստանի Հանրապետության </w:t>
      </w:r>
      <w:r w:rsidR="00C86389" w:rsidRPr="00C86389">
        <w:rPr>
          <w:rFonts w:ascii="GHEA Grapalat" w:hAnsi="GHEA Grapalat" w:cs="Arial"/>
          <w:b/>
          <w:bCs/>
          <w:lang w:val="hy-AM" w:eastAsia="en-GB"/>
        </w:rPr>
        <w:t>Կոտայքի մ</w:t>
      </w:r>
      <w:r w:rsidR="008F745B" w:rsidRPr="00C86389">
        <w:rPr>
          <w:rFonts w:ascii="GHEA Grapalat" w:hAnsi="GHEA Grapalat" w:cs="Arial"/>
          <w:b/>
          <w:bCs/>
          <w:lang w:val="hy-AM" w:eastAsia="en-GB"/>
        </w:rPr>
        <w:t>արզի</w:t>
      </w:r>
      <w:r w:rsidR="00C86389" w:rsidRPr="00C86389">
        <w:rPr>
          <w:rFonts w:ascii="GHEA Grapalat" w:hAnsi="GHEA Grapalat" w:cs="Arial"/>
          <w:b/>
          <w:bCs/>
          <w:lang w:val="hy-AM" w:eastAsia="en-GB"/>
        </w:rPr>
        <w:t xml:space="preserve"> Նոր Գեղի</w:t>
      </w:r>
      <w:r w:rsidR="00C86389" w:rsidRPr="00C86389">
        <w:rPr>
          <w:rFonts w:ascii="GHEA Grapalat" w:hAnsi="GHEA Grapalat" w:cs="Arial"/>
          <w:lang w:val="hy-AM" w:eastAsia="en-GB"/>
        </w:rPr>
        <w:t xml:space="preserve"> համայնքի</w:t>
      </w:r>
      <w:r w:rsidR="008F745B" w:rsidRPr="00C86389">
        <w:rPr>
          <w:rFonts w:ascii="GHEA Grapalat" w:hAnsi="GHEA Grapalat" w:cs="Arial"/>
          <w:lang w:val="hy-AM" w:eastAsia="en-GB"/>
        </w:rPr>
        <w:t xml:space="preserve"> </w:t>
      </w:r>
      <w:r w:rsidR="00C86389" w:rsidRPr="00C86389">
        <w:rPr>
          <w:rFonts w:ascii="GHEA Grapalat" w:hAnsi="GHEA Grapalat" w:cs="Arial"/>
          <w:b/>
          <w:bCs/>
          <w:lang w:val="hy-AM" w:eastAsia="en-GB"/>
        </w:rPr>
        <w:t>Երկաթուղային, Շիրազ, Խաչատրյան, Կոմիտաս, Թումանյան, Չարենց և Իսահակյան</w:t>
      </w:r>
      <w:r w:rsidR="00C86389" w:rsidRPr="00C86389">
        <w:rPr>
          <w:rFonts w:ascii="GHEA Grapalat" w:hAnsi="GHEA Grapalat" w:cs="Arial"/>
          <w:lang w:val="hy-AM" w:eastAsia="en-GB"/>
        </w:rPr>
        <w:t xml:space="preserve"> </w:t>
      </w:r>
      <w:r w:rsidR="00046617" w:rsidRPr="00C86389">
        <w:rPr>
          <w:rFonts w:ascii="GHEA Grapalat" w:hAnsi="GHEA Grapalat" w:cs="Arial"/>
          <w:lang w:val="hy-AM" w:eastAsia="en-GB"/>
        </w:rPr>
        <w:t>փողոց</w:t>
      </w:r>
      <w:r w:rsidR="00F43A92" w:rsidRPr="00C86389">
        <w:rPr>
          <w:rFonts w:ascii="GHEA Grapalat" w:hAnsi="GHEA Grapalat" w:cs="Arial"/>
          <w:lang w:val="hy-AM" w:eastAsia="en-GB"/>
        </w:rPr>
        <w:t>ների</w:t>
      </w:r>
      <w:r w:rsidR="00515B13" w:rsidRPr="00C86389">
        <w:rPr>
          <w:rFonts w:ascii="GHEA Grapalat" w:hAnsi="GHEA Grapalat" w:cs="Arial"/>
          <w:lang w:val="hy-AM" w:eastAsia="en-GB"/>
        </w:rPr>
        <w:t xml:space="preserve"> (ըստ ՀՀՇՆ 22-03-2017-ի՝ գյուղական բնակավայրերի բնակելի կառուցապատման </w:t>
      </w:r>
      <w:r w:rsidR="00FB30B5">
        <w:rPr>
          <w:rFonts w:ascii="GHEA Grapalat" w:hAnsi="GHEA Grapalat" w:cs="Arial"/>
          <w:lang w:val="hy-AM" w:eastAsia="en-GB"/>
        </w:rPr>
        <w:t xml:space="preserve">գլխավոր </w:t>
      </w:r>
      <w:r w:rsidR="002D6D3E">
        <w:rPr>
          <w:rFonts w:ascii="GHEA Grapalat" w:hAnsi="GHEA Grapalat" w:cs="Arial"/>
          <w:lang w:val="hy-AM" w:eastAsia="en-GB"/>
        </w:rPr>
        <w:t xml:space="preserve">փողոցների համար՝ </w:t>
      </w:r>
      <w:r w:rsidR="00FB30B5" w:rsidRPr="00FB30B5">
        <w:rPr>
          <w:rFonts w:ascii="GHEA Grapalat" w:hAnsi="GHEA Grapalat" w:cs="Arial"/>
          <w:lang w:val="hy-AM" w:eastAsia="en-GB"/>
        </w:rPr>
        <w:t>10</w:t>
      </w:r>
      <w:r w:rsidR="002D6D3E">
        <w:rPr>
          <w:rFonts w:ascii="GHEA Grapalat" w:hAnsi="GHEA Grapalat" w:cs="Arial"/>
          <w:lang w:val="hy-AM" w:eastAsia="en-GB"/>
        </w:rPr>
        <w:t xml:space="preserve"> լյուքս</w:t>
      </w:r>
      <w:r w:rsidR="00C86389">
        <w:rPr>
          <w:rFonts w:ascii="GHEA Grapalat" w:hAnsi="GHEA Grapalat" w:cs="Arial"/>
          <w:lang w:val="hy-AM" w:eastAsia="en-GB"/>
        </w:rPr>
        <w:t>, ոչ պակաս՝ միջին լուսավորվածություն</w:t>
      </w:r>
      <w:r w:rsidR="002D6D3E">
        <w:rPr>
          <w:rFonts w:ascii="GHEA Grapalat" w:hAnsi="GHEA Grapalat" w:cs="Arial"/>
          <w:lang w:val="hy-AM" w:eastAsia="en-GB"/>
        </w:rPr>
        <w:t xml:space="preserve"> և 0,25</w:t>
      </w:r>
      <w:r w:rsidR="00C86389">
        <w:rPr>
          <w:rFonts w:ascii="GHEA Grapalat" w:hAnsi="GHEA Grapalat" w:cs="Arial"/>
          <w:lang w:val="hy-AM" w:eastAsia="en-GB"/>
        </w:rPr>
        <w:t>-ից ոչ պակաս՝</w:t>
      </w:r>
      <w:r w:rsidR="002D6D3E">
        <w:rPr>
          <w:rFonts w:ascii="GHEA Grapalat" w:hAnsi="GHEA Grapalat" w:cs="Arial"/>
          <w:lang w:val="hy-AM" w:eastAsia="en-GB"/>
        </w:rPr>
        <w:t xml:space="preserve"> </w:t>
      </w:r>
      <w:r w:rsidR="00C86389">
        <w:rPr>
          <w:rFonts w:ascii="GHEA Grapalat" w:hAnsi="GHEA Grapalat" w:cs="Arial"/>
          <w:lang w:val="hy-AM" w:eastAsia="en-GB"/>
        </w:rPr>
        <w:t>լուսավորվածության հավասարաչափություն</w:t>
      </w:r>
      <w:r w:rsidR="00515B13" w:rsidRPr="00515B13">
        <w:rPr>
          <w:rFonts w:ascii="GHEA Grapalat" w:hAnsi="GHEA Grapalat" w:cs="Arial"/>
          <w:lang w:val="hy-AM" w:eastAsia="en-GB"/>
        </w:rPr>
        <w:t>)</w:t>
      </w:r>
      <w:r w:rsidR="00F43A92" w:rsidRPr="00515B13">
        <w:rPr>
          <w:rFonts w:ascii="GHEA Grapalat" w:hAnsi="GHEA Grapalat" w:cs="Arial"/>
          <w:lang w:val="hy-AM" w:eastAsia="en-GB"/>
        </w:rPr>
        <w:t xml:space="preserve"> լուսավորության </w:t>
      </w:r>
      <w:r w:rsidR="00515B13">
        <w:rPr>
          <w:rFonts w:ascii="GHEA Grapalat" w:hAnsi="GHEA Grapalat" w:cs="Arial"/>
          <w:lang w:val="hy-AM" w:eastAsia="en-GB"/>
        </w:rPr>
        <w:t xml:space="preserve">իրականացման </w:t>
      </w:r>
      <w:r w:rsidR="00046617" w:rsidRPr="00515B13">
        <w:rPr>
          <w:rFonts w:ascii="GHEA Grapalat" w:hAnsi="GHEA Grapalat" w:cs="Arial"/>
          <w:lang w:val="hy-AM" w:eastAsia="en-GB"/>
        </w:rPr>
        <w:t>համար պա</w:t>
      </w:r>
      <w:r w:rsidRPr="00515B13">
        <w:rPr>
          <w:rFonts w:ascii="GHEA Grapalat" w:hAnsi="GHEA Grapalat" w:cs="Arial"/>
          <w:lang w:val="hy-AM" w:eastAsia="en-GB"/>
        </w:rPr>
        <w:t>հանջվող լուսատուն</w:t>
      </w:r>
      <w:r w:rsidR="00C86389">
        <w:rPr>
          <w:rFonts w:ascii="GHEA Grapalat" w:hAnsi="GHEA Grapalat" w:cs="Arial"/>
          <w:lang w:val="hy-AM" w:eastAsia="en-GB"/>
        </w:rPr>
        <w:t xml:space="preserve"> </w:t>
      </w:r>
      <w:r w:rsidRPr="00515B13">
        <w:rPr>
          <w:rFonts w:ascii="GHEA Grapalat" w:hAnsi="GHEA Grapalat" w:cs="Arial"/>
          <w:lang w:val="hy-AM" w:eastAsia="en-GB"/>
        </w:rPr>
        <w:t xml:space="preserve">պետք է ունենա լույսի ուժգնության բաշխման </w:t>
      </w:r>
      <w:r w:rsidR="00046617" w:rsidRPr="00515B13">
        <w:rPr>
          <w:rFonts w:ascii="GHEA Grapalat" w:hAnsi="GHEA Grapalat" w:cs="Arial"/>
          <w:lang w:val="hy-AM" w:eastAsia="en-GB"/>
        </w:rPr>
        <w:t>կոր համապատասխան ստորև ներկայացած նկարի:</w:t>
      </w:r>
    </w:p>
    <w:p w14:paraId="3E6826A1" w14:textId="0D7109AF" w:rsidR="008F745B" w:rsidRPr="008F745B" w:rsidRDefault="008F745B" w:rsidP="008F745B">
      <w:pPr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F745B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2B7FD13" wp14:editId="50C3772C">
            <wp:extent cx="2981739" cy="2981739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985" cy="299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93A68" w14:textId="15D8D8A8" w:rsidR="000E1CD3" w:rsidRDefault="00C86389" w:rsidP="000E1CD3">
      <w:pPr>
        <w:spacing w:before="240" w:after="0" w:line="240" w:lineRule="auto"/>
        <w:jc w:val="both"/>
        <w:rPr>
          <w:rFonts w:ascii="GHEA Grapalat" w:hAnsi="GHEA Grapalat" w:cs="Arial"/>
          <w:lang w:val="hy-AM" w:eastAsia="en-GB"/>
        </w:rPr>
      </w:pPr>
      <w:r>
        <w:rPr>
          <w:rFonts w:ascii="GHEA Grapalat" w:hAnsi="GHEA Grapalat" w:cs="Arial"/>
          <w:lang w:val="hy-AM" w:eastAsia="en-GB"/>
        </w:rPr>
        <w:t>Ն</w:t>
      </w:r>
      <w:r w:rsidR="008F745B">
        <w:rPr>
          <w:rFonts w:ascii="GHEA Grapalat" w:hAnsi="GHEA Grapalat" w:cs="Arial"/>
          <w:lang w:val="hy-AM" w:eastAsia="en-GB"/>
        </w:rPr>
        <w:t xml:space="preserve">որմավորվող </w:t>
      </w:r>
      <w:r w:rsidR="002D6D3E">
        <w:rPr>
          <w:rFonts w:ascii="GHEA Grapalat" w:hAnsi="GHEA Grapalat" w:cs="Arial"/>
          <w:lang w:val="hy-AM" w:eastAsia="en-GB"/>
        </w:rPr>
        <w:t xml:space="preserve">լուսավորությունը </w:t>
      </w:r>
      <w:r w:rsidR="008F745B">
        <w:rPr>
          <w:rFonts w:ascii="GHEA Grapalat" w:hAnsi="GHEA Grapalat" w:cs="Arial"/>
          <w:lang w:val="hy-AM" w:eastAsia="en-GB"/>
        </w:rPr>
        <w:t>ապահովվելու</w:t>
      </w:r>
      <w:r w:rsidR="002D6D3E">
        <w:rPr>
          <w:rFonts w:ascii="GHEA Grapalat" w:hAnsi="GHEA Grapalat" w:cs="Arial"/>
          <w:lang w:val="hy-AM" w:eastAsia="en-GB"/>
        </w:rPr>
        <w:t xml:space="preserve"> համար պ</w:t>
      </w:r>
      <w:r w:rsidR="00046617" w:rsidRPr="00515B13">
        <w:rPr>
          <w:rFonts w:ascii="GHEA Grapalat" w:hAnsi="GHEA Grapalat" w:cs="Arial"/>
          <w:lang w:val="hy-AM" w:eastAsia="en-GB"/>
        </w:rPr>
        <w:t xml:space="preserve">ահանջվում է </w:t>
      </w:r>
      <w:r w:rsidR="008F745B">
        <w:rPr>
          <w:rFonts w:ascii="GHEA Grapalat" w:hAnsi="GHEA Grapalat" w:cs="Arial"/>
          <w:lang w:val="hy-AM" w:eastAsia="en-GB"/>
        </w:rPr>
        <w:t>՝</w:t>
      </w:r>
      <w:r w:rsidR="002D6D3E">
        <w:rPr>
          <w:rFonts w:ascii="GHEA Grapalat" w:hAnsi="GHEA Grapalat" w:cs="Arial"/>
          <w:lang w:val="hy-AM" w:eastAsia="en-GB"/>
        </w:rPr>
        <w:t xml:space="preserve"> </w:t>
      </w:r>
      <w:r w:rsidR="00FB30B5">
        <w:rPr>
          <w:rFonts w:ascii="GHEA Grapalat" w:hAnsi="GHEA Grapalat" w:cs="Arial"/>
          <w:b/>
          <w:bCs/>
          <w:lang w:eastAsia="en-GB"/>
        </w:rPr>
        <w:t>53</w:t>
      </w:r>
      <w:r w:rsidR="002D6D3E" w:rsidRPr="008F745B">
        <w:rPr>
          <w:rFonts w:ascii="GHEA Grapalat" w:hAnsi="GHEA Grapalat" w:cs="Arial"/>
          <w:b/>
          <w:bCs/>
          <w:lang w:val="hy-AM" w:eastAsia="en-GB"/>
        </w:rPr>
        <w:t>00 լյումեն</w:t>
      </w:r>
      <w:r w:rsidR="002D6D3E">
        <w:rPr>
          <w:rFonts w:ascii="GHEA Grapalat" w:hAnsi="GHEA Grapalat" w:cs="Arial"/>
          <w:lang w:val="hy-AM" w:eastAsia="en-GB"/>
        </w:rPr>
        <w:t xml:space="preserve"> կամ </w:t>
      </w:r>
      <w:r w:rsidR="00FB30B5">
        <w:rPr>
          <w:rFonts w:ascii="GHEA Grapalat" w:hAnsi="GHEA Grapalat" w:cs="Arial"/>
          <w:b/>
          <w:bCs/>
          <w:lang w:eastAsia="en-GB"/>
        </w:rPr>
        <w:t>4</w:t>
      </w:r>
      <w:r w:rsidR="002D6D3E" w:rsidRPr="008F745B">
        <w:rPr>
          <w:rFonts w:ascii="GHEA Grapalat" w:hAnsi="GHEA Grapalat" w:cs="Arial"/>
          <w:b/>
          <w:bCs/>
          <w:lang w:val="hy-AM" w:eastAsia="en-GB"/>
        </w:rPr>
        <w:t>5 Վտ</w:t>
      </w:r>
      <w:r w:rsidR="002D6D3E">
        <w:rPr>
          <w:rFonts w:ascii="GHEA Grapalat" w:hAnsi="GHEA Grapalat" w:cs="Arial"/>
          <w:lang w:val="hy-AM" w:eastAsia="en-GB"/>
        </w:rPr>
        <w:t xml:space="preserve"> հզորության լուսատու</w:t>
      </w:r>
      <w:r w:rsidR="000E1CD3" w:rsidRPr="00515B13">
        <w:rPr>
          <w:rFonts w:ascii="GHEA Grapalat" w:hAnsi="GHEA Grapalat" w:cs="Arial"/>
          <w:lang w:val="hy-AM" w:eastAsia="en-GB"/>
        </w:rPr>
        <w:t>:</w:t>
      </w:r>
    </w:p>
    <w:p w14:paraId="11203812" w14:textId="738377D0" w:rsidR="00574CAB" w:rsidRPr="00574CAB" w:rsidRDefault="00654857" w:rsidP="000E1CD3">
      <w:pPr>
        <w:spacing w:before="240" w:after="240" w:line="240" w:lineRule="auto"/>
        <w:jc w:val="both"/>
        <w:rPr>
          <w:rFonts w:ascii="GHEA Grapalat" w:hAnsi="GHEA Grapalat" w:cs="Arial"/>
          <w:lang w:val="hy-AM" w:eastAsia="en-GB"/>
        </w:rPr>
      </w:pPr>
      <w:r>
        <w:rPr>
          <w:rFonts w:ascii="GHEA Grapalat" w:hAnsi="GHEA Grapalat" w:cs="Arial"/>
          <w:lang w:val="hy-AM" w:eastAsia="en-GB"/>
        </w:rPr>
        <w:t>Լ</w:t>
      </w:r>
      <w:r w:rsidR="000E1CD3">
        <w:rPr>
          <w:rFonts w:ascii="GHEA Grapalat" w:hAnsi="GHEA Grapalat" w:cs="Arial"/>
          <w:lang w:val="hy-AM" w:eastAsia="en-GB"/>
        </w:rPr>
        <w:t>ուսատուն պետք է</w:t>
      </w:r>
      <w:r w:rsidR="00574CAB">
        <w:rPr>
          <w:rFonts w:ascii="GHEA Grapalat" w:hAnsi="GHEA Grapalat" w:cs="Arial"/>
          <w:lang w:val="hy-AM" w:eastAsia="en-GB"/>
        </w:rPr>
        <w:t xml:space="preserve"> </w:t>
      </w:r>
      <w:r w:rsidR="00574CAB" w:rsidRPr="00574CAB">
        <w:rPr>
          <w:rFonts w:ascii="GHEA Grapalat" w:hAnsi="GHEA Grapalat" w:cs="Arial"/>
          <w:lang w:val="hy-AM" w:eastAsia="en-GB"/>
        </w:rPr>
        <w:t>համապատասխան</w:t>
      </w:r>
      <w:r>
        <w:rPr>
          <w:rFonts w:ascii="GHEA Grapalat" w:hAnsi="GHEA Grapalat" w:cs="Arial"/>
          <w:lang w:val="hy-AM" w:eastAsia="en-GB"/>
        </w:rPr>
        <w:t>ի</w:t>
      </w:r>
      <w:r w:rsidR="00574CAB" w:rsidRPr="00574CAB">
        <w:rPr>
          <w:rFonts w:ascii="GHEA Grapalat" w:hAnsi="GHEA Grapalat" w:cs="Arial"/>
          <w:lang w:val="hy-AM" w:eastAsia="en-GB"/>
        </w:rPr>
        <w:t xml:space="preserve"> </w:t>
      </w:r>
      <w:r w:rsidR="00574CAB">
        <w:rPr>
          <w:rFonts w:ascii="GHEA Grapalat" w:hAnsi="GHEA Grapalat" w:cs="Arial"/>
          <w:lang w:val="hy-AM" w:eastAsia="en-GB"/>
        </w:rPr>
        <w:t xml:space="preserve">պարամետրերի, որոնք </w:t>
      </w:r>
      <w:r w:rsidR="00574CAB" w:rsidRPr="00574CAB">
        <w:rPr>
          <w:rFonts w:ascii="GHEA Grapalat" w:hAnsi="GHEA Grapalat" w:cs="Arial"/>
          <w:lang w:val="hy-AM" w:eastAsia="en-GB"/>
        </w:rPr>
        <w:t>բերված</w:t>
      </w:r>
      <w:r w:rsidR="00574CAB">
        <w:rPr>
          <w:rFonts w:ascii="GHEA Grapalat" w:hAnsi="GHEA Grapalat" w:cs="Arial"/>
          <w:lang w:val="hy-AM" w:eastAsia="en-GB"/>
        </w:rPr>
        <w:t xml:space="preserve"> են </w:t>
      </w:r>
      <w:r w:rsidR="00574CAB" w:rsidRPr="00574CAB">
        <w:rPr>
          <w:rFonts w:ascii="GHEA Grapalat" w:hAnsi="GHEA Grapalat" w:cs="Arial"/>
          <w:lang w:val="hy-AM" w:eastAsia="en-GB"/>
        </w:rPr>
        <w:t xml:space="preserve">ստորև </w:t>
      </w:r>
      <w:r w:rsidR="00574CAB">
        <w:rPr>
          <w:rFonts w:ascii="GHEA Grapalat" w:hAnsi="GHEA Grapalat" w:cs="Arial"/>
          <w:lang w:val="hy-AM" w:eastAsia="en-GB"/>
        </w:rPr>
        <w:t>ներկայացված</w:t>
      </w:r>
      <w:r w:rsidR="00574CAB" w:rsidRPr="00574CAB">
        <w:rPr>
          <w:rFonts w:ascii="GHEA Grapalat" w:hAnsi="GHEA Grapalat" w:cs="Arial"/>
          <w:lang w:val="hy-AM" w:eastAsia="en-GB"/>
        </w:rPr>
        <w:t xml:space="preserve"> աղյուսակում</w:t>
      </w:r>
      <w:r w:rsidR="00574CAB">
        <w:rPr>
          <w:rFonts w:ascii="GHEA Grapalat" w:hAnsi="GHEA Grapalat" w:cs="Arial"/>
          <w:lang w:val="hy-AM" w:eastAsia="en-GB"/>
        </w:rPr>
        <w:t xml:space="preserve">: Լուսատուն պարամետրերի  համապատասխանությունը  </w:t>
      </w:r>
      <w:r w:rsidR="00574CAB" w:rsidRPr="00574CAB">
        <w:rPr>
          <w:rFonts w:ascii="GHEA Grapalat" w:hAnsi="GHEA Grapalat" w:cs="Arial"/>
          <w:lang w:val="hy-AM" w:eastAsia="en-GB"/>
        </w:rPr>
        <w:t>պետք է հաստատված լինի լուսատուների տեխնիկական անձնագրով</w:t>
      </w:r>
      <w:r w:rsidR="00574CAB">
        <w:rPr>
          <w:rFonts w:ascii="GHEA Grapalat" w:hAnsi="GHEA Grapalat" w:cs="Arial"/>
          <w:lang w:val="hy-AM" w:eastAsia="en-GB"/>
        </w:rPr>
        <w:t xml:space="preserve"> կամ այլ համապատասխան փաստաթղթով</w:t>
      </w:r>
      <w:r w:rsidR="00574CAB" w:rsidRPr="00574CAB">
        <w:rPr>
          <w:rFonts w:ascii="GHEA Grapalat" w:hAnsi="GHEA Grapalat" w:cs="Arial"/>
          <w:lang w:val="hy-AM" w:eastAsia="en-GB"/>
        </w:rPr>
        <w:t xml:space="preserve">:    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402"/>
      </w:tblGrid>
      <w:tr w:rsidR="00574CAB" w:rsidRPr="00574CAB" w14:paraId="1460ED59" w14:textId="77777777" w:rsidTr="00FE75E1">
        <w:trPr>
          <w:jc w:val="center"/>
        </w:trPr>
        <w:tc>
          <w:tcPr>
            <w:tcW w:w="6091" w:type="dxa"/>
            <w:shd w:val="clear" w:color="auto" w:fill="D9D9D9"/>
            <w:vAlign w:val="center"/>
          </w:tcPr>
          <w:p w14:paraId="1C13C297" w14:textId="77777777" w:rsidR="00574CAB" w:rsidRPr="00574CAB" w:rsidRDefault="00574CAB" w:rsidP="00F61D25">
            <w:pPr>
              <w:spacing w:before="20" w:after="20" w:line="240" w:lineRule="auto"/>
              <w:jc w:val="center"/>
              <w:rPr>
                <w:rFonts w:ascii="GHEA Grapalat" w:eastAsia="Times New Roman" w:hAnsi="GHEA Grapalat" w:cs="Arial"/>
                <w:b/>
                <w:lang w:val="hy-AM" w:eastAsia="en-GB"/>
              </w:rPr>
            </w:pPr>
            <w:r w:rsidRPr="00574CAB">
              <w:rPr>
                <w:rFonts w:ascii="GHEA Grapalat" w:eastAsia="Times New Roman" w:hAnsi="GHEA Grapalat" w:cs="Arial"/>
                <w:b/>
                <w:lang w:val="hy-AM" w:eastAsia="en-GB"/>
              </w:rPr>
              <w:t>Պահանջվող հարաչափերը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3D1CC93D" w14:textId="77777777" w:rsidR="00574CAB" w:rsidRPr="00574CAB" w:rsidRDefault="00574CAB" w:rsidP="00F61D25">
            <w:pPr>
              <w:spacing w:before="20" w:after="20" w:line="240" w:lineRule="auto"/>
              <w:jc w:val="center"/>
              <w:rPr>
                <w:rFonts w:ascii="GHEA Grapalat" w:eastAsia="Times New Roman" w:hAnsi="GHEA Grapalat" w:cs="Arial"/>
                <w:b/>
                <w:lang w:eastAsia="en-GB"/>
              </w:rPr>
            </w:pPr>
            <w:r w:rsidRPr="00574CAB">
              <w:rPr>
                <w:rFonts w:ascii="GHEA Grapalat" w:eastAsia="Times New Roman" w:hAnsi="GHEA Grapalat" w:cs="Arial"/>
                <w:b/>
                <w:lang w:eastAsia="en-GB"/>
              </w:rPr>
              <w:t>Արժեք</w:t>
            </w:r>
          </w:p>
        </w:tc>
      </w:tr>
      <w:tr w:rsidR="00574CAB" w:rsidRPr="00574CAB" w14:paraId="4643C000" w14:textId="77777777" w:rsidTr="00FE75E1">
        <w:trPr>
          <w:jc w:val="center"/>
        </w:trPr>
        <w:tc>
          <w:tcPr>
            <w:tcW w:w="6091" w:type="dxa"/>
          </w:tcPr>
          <w:p w14:paraId="657E2E0C" w14:textId="77777777" w:rsidR="00574CAB" w:rsidRPr="00574CAB" w:rsidRDefault="00574CAB" w:rsidP="00F61D25">
            <w:pPr>
              <w:spacing w:before="20" w:after="20" w:line="240" w:lineRule="auto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>Աշխատանքային լարում</w:t>
            </w:r>
          </w:p>
        </w:tc>
        <w:tc>
          <w:tcPr>
            <w:tcW w:w="3402" w:type="dxa"/>
          </w:tcPr>
          <w:p w14:paraId="34B95D79" w14:textId="77777777" w:rsidR="00574CAB" w:rsidRPr="00574CAB" w:rsidRDefault="00574CAB" w:rsidP="00F61D25">
            <w:pPr>
              <w:spacing w:before="20" w:after="20" w:line="240" w:lineRule="auto"/>
              <w:jc w:val="center"/>
              <w:rPr>
                <w:rFonts w:ascii="GHEA Grapalat" w:eastAsia="Times New Roman" w:hAnsi="GHEA Grapalat" w:cs="Arial"/>
                <w:lang w:val="hy-AM" w:eastAsia="en-GB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 xml:space="preserve"> 180V – 250V</w:t>
            </w:r>
          </w:p>
        </w:tc>
      </w:tr>
      <w:tr w:rsidR="00574CAB" w:rsidRPr="00574CAB" w14:paraId="184F669C" w14:textId="77777777" w:rsidTr="00FE75E1">
        <w:trPr>
          <w:jc w:val="center"/>
        </w:trPr>
        <w:tc>
          <w:tcPr>
            <w:tcW w:w="6091" w:type="dxa"/>
          </w:tcPr>
          <w:p w14:paraId="3029A00F" w14:textId="77777777" w:rsidR="00574CAB" w:rsidRPr="00574CAB" w:rsidRDefault="00574CAB" w:rsidP="00F61D25">
            <w:pPr>
              <w:spacing w:before="20" w:after="20" w:line="240" w:lineRule="auto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 xml:space="preserve">Աշխատանքային հաճախականություն </w:t>
            </w:r>
          </w:p>
        </w:tc>
        <w:tc>
          <w:tcPr>
            <w:tcW w:w="3402" w:type="dxa"/>
          </w:tcPr>
          <w:p w14:paraId="47EE340B" w14:textId="77777777" w:rsidR="00574CAB" w:rsidRPr="00574CAB" w:rsidRDefault="00574CAB" w:rsidP="00F61D25">
            <w:pPr>
              <w:spacing w:before="20" w:after="20" w:line="240" w:lineRule="auto"/>
              <w:jc w:val="center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>50 ± 5 Hz</w:t>
            </w:r>
          </w:p>
        </w:tc>
      </w:tr>
      <w:tr w:rsidR="00574CAB" w:rsidRPr="00574CAB" w14:paraId="2122F649" w14:textId="77777777" w:rsidTr="00FE75E1">
        <w:trPr>
          <w:jc w:val="center"/>
        </w:trPr>
        <w:tc>
          <w:tcPr>
            <w:tcW w:w="6091" w:type="dxa"/>
          </w:tcPr>
          <w:p w14:paraId="392035A1" w14:textId="77777777" w:rsidR="00574CAB" w:rsidRPr="00574CAB" w:rsidRDefault="00574CAB" w:rsidP="00F61D25">
            <w:pPr>
              <w:spacing w:before="20" w:after="20" w:line="240" w:lineRule="auto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 xml:space="preserve">Աշխատանքային ջերմաստիճան </w:t>
            </w:r>
          </w:p>
        </w:tc>
        <w:tc>
          <w:tcPr>
            <w:tcW w:w="3402" w:type="dxa"/>
          </w:tcPr>
          <w:p w14:paraId="23B63BDB" w14:textId="77777777" w:rsidR="00574CAB" w:rsidRPr="00574CAB" w:rsidRDefault="00574CAB" w:rsidP="00F61D25">
            <w:pPr>
              <w:spacing w:before="20" w:after="20" w:line="240" w:lineRule="auto"/>
              <w:jc w:val="center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 xml:space="preserve"> - 30 –ից  + 40 </w:t>
            </w:r>
            <w:r w:rsidRPr="00574CAB">
              <w:rPr>
                <w:rFonts w:ascii="GHEA Grapalat" w:eastAsia="Times New Roman" w:hAnsi="GHEA Grapalat" w:cs="Arial"/>
                <w:vertAlign w:val="superscript"/>
                <w:lang w:val="hy-AM"/>
              </w:rPr>
              <w:t>0</w:t>
            </w:r>
            <w:r w:rsidRPr="00574CAB">
              <w:rPr>
                <w:rFonts w:ascii="GHEA Grapalat" w:eastAsia="Times New Roman" w:hAnsi="GHEA Grapalat" w:cs="Arial"/>
                <w:lang w:val="hy-AM"/>
              </w:rPr>
              <w:t>C</w:t>
            </w:r>
          </w:p>
        </w:tc>
      </w:tr>
      <w:tr w:rsidR="00574CAB" w:rsidRPr="00574CAB" w14:paraId="3CDF6DDC" w14:textId="77777777" w:rsidTr="00FE75E1">
        <w:trPr>
          <w:jc w:val="center"/>
        </w:trPr>
        <w:tc>
          <w:tcPr>
            <w:tcW w:w="6091" w:type="dxa"/>
          </w:tcPr>
          <w:p w14:paraId="554F0B10" w14:textId="77777777" w:rsidR="00574CAB" w:rsidRPr="00574CAB" w:rsidRDefault="00574CAB" w:rsidP="00F61D25">
            <w:pPr>
              <w:spacing w:before="20" w:after="20" w:line="240" w:lineRule="auto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 xml:space="preserve">Երկարակեցություն, ոչ պակաս </w:t>
            </w:r>
          </w:p>
        </w:tc>
        <w:tc>
          <w:tcPr>
            <w:tcW w:w="3402" w:type="dxa"/>
          </w:tcPr>
          <w:p w14:paraId="546835A9" w14:textId="77777777" w:rsidR="00574CAB" w:rsidRPr="00FE75E1" w:rsidRDefault="00FB30B5" w:rsidP="00F61D25">
            <w:pPr>
              <w:spacing w:before="20" w:after="20" w:line="240" w:lineRule="auto"/>
              <w:jc w:val="center"/>
              <w:rPr>
                <w:rFonts w:ascii="GHEA Grapalat" w:eastAsia="Times New Roman" w:hAnsi="GHEA Grapalat" w:cs="Arial"/>
                <w:spacing w:val="-8"/>
                <w:lang w:val="hy-AM"/>
              </w:rPr>
            </w:pPr>
            <w:hyperlink r:id="rId6" w:history="1">
              <w:r w:rsidR="00574CAB" w:rsidRPr="00FE75E1">
                <w:rPr>
                  <w:rFonts w:ascii="GHEA Grapalat" w:eastAsia="Times New Roman" w:hAnsi="GHEA Grapalat" w:cs="Arial"/>
                  <w:spacing w:val="-8"/>
                  <w:lang w:val="hy-AM"/>
                </w:rPr>
                <w:t>30000 ժամ @ Ta=25°C (L80, B10)</w:t>
              </w:r>
            </w:hyperlink>
          </w:p>
        </w:tc>
      </w:tr>
      <w:tr w:rsidR="00574CAB" w:rsidRPr="00574CAB" w14:paraId="2F9FB1C2" w14:textId="77777777" w:rsidTr="00FE75E1">
        <w:trPr>
          <w:jc w:val="center"/>
        </w:trPr>
        <w:tc>
          <w:tcPr>
            <w:tcW w:w="6091" w:type="dxa"/>
          </w:tcPr>
          <w:p w14:paraId="6286661D" w14:textId="77777777" w:rsidR="00574CAB" w:rsidRPr="00574CAB" w:rsidRDefault="00574CAB" w:rsidP="00F61D25">
            <w:pPr>
              <w:spacing w:before="20" w:after="20" w:line="240" w:lineRule="auto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 xml:space="preserve">Հզորության գործակից </w:t>
            </w:r>
          </w:p>
        </w:tc>
        <w:tc>
          <w:tcPr>
            <w:tcW w:w="3402" w:type="dxa"/>
          </w:tcPr>
          <w:p w14:paraId="59085487" w14:textId="77777777" w:rsidR="00574CAB" w:rsidRPr="00574CAB" w:rsidRDefault="00574CAB" w:rsidP="00F61D25">
            <w:pPr>
              <w:spacing w:before="20" w:after="20" w:line="240" w:lineRule="auto"/>
              <w:jc w:val="center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>≥0,90</w:t>
            </w:r>
          </w:p>
        </w:tc>
      </w:tr>
      <w:tr w:rsidR="00574CAB" w:rsidRPr="00574CAB" w14:paraId="22F3C999" w14:textId="77777777" w:rsidTr="00FE75E1">
        <w:trPr>
          <w:trHeight w:val="357"/>
          <w:jc w:val="center"/>
        </w:trPr>
        <w:tc>
          <w:tcPr>
            <w:tcW w:w="6091" w:type="dxa"/>
          </w:tcPr>
          <w:p w14:paraId="0DFA5BB7" w14:textId="77777777" w:rsidR="00574CAB" w:rsidRPr="00574CAB" w:rsidRDefault="00574CAB" w:rsidP="00F61D25">
            <w:pPr>
              <w:spacing w:before="20" w:after="20" w:line="240" w:lineRule="auto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>Փոխկապակցված գունային ջերմաստիճան</w:t>
            </w:r>
          </w:p>
        </w:tc>
        <w:tc>
          <w:tcPr>
            <w:tcW w:w="3402" w:type="dxa"/>
          </w:tcPr>
          <w:p w14:paraId="589D3B2B" w14:textId="77777777" w:rsidR="00574CAB" w:rsidRPr="00574CAB" w:rsidRDefault="00574CAB" w:rsidP="00F61D25">
            <w:pPr>
              <w:spacing w:before="20" w:after="20" w:line="240" w:lineRule="auto"/>
              <w:jc w:val="center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>4000 ± 250K</w:t>
            </w:r>
          </w:p>
        </w:tc>
      </w:tr>
      <w:tr w:rsidR="00574CAB" w:rsidRPr="00574CAB" w14:paraId="401558F0" w14:textId="77777777" w:rsidTr="00FE75E1">
        <w:trPr>
          <w:jc w:val="center"/>
        </w:trPr>
        <w:tc>
          <w:tcPr>
            <w:tcW w:w="6091" w:type="dxa"/>
          </w:tcPr>
          <w:p w14:paraId="7D89B869" w14:textId="77777777" w:rsidR="00574CAB" w:rsidRPr="00574CAB" w:rsidRDefault="00574CAB" w:rsidP="00F61D25">
            <w:pPr>
              <w:spacing w:before="20" w:after="20" w:line="240" w:lineRule="auto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lastRenderedPageBreak/>
              <w:t xml:space="preserve">Գունափոխանցման գործակից (CRI)  </w:t>
            </w:r>
          </w:p>
        </w:tc>
        <w:tc>
          <w:tcPr>
            <w:tcW w:w="3402" w:type="dxa"/>
          </w:tcPr>
          <w:p w14:paraId="27749F70" w14:textId="77777777" w:rsidR="00574CAB" w:rsidRPr="00574CAB" w:rsidRDefault="00574CAB" w:rsidP="00F61D25">
            <w:pPr>
              <w:spacing w:before="20" w:after="20" w:line="240" w:lineRule="auto"/>
              <w:jc w:val="center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>≥70</w:t>
            </w:r>
          </w:p>
        </w:tc>
      </w:tr>
      <w:tr w:rsidR="00574CAB" w:rsidRPr="00574CAB" w14:paraId="261A0D2D" w14:textId="77777777" w:rsidTr="00FE75E1">
        <w:trPr>
          <w:jc w:val="center"/>
        </w:trPr>
        <w:tc>
          <w:tcPr>
            <w:tcW w:w="6091" w:type="dxa"/>
          </w:tcPr>
          <w:p w14:paraId="0E01D372" w14:textId="77777777" w:rsidR="00574CAB" w:rsidRPr="00574CAB" w:rsidRDefault="00574CAB" w:rsidP="00F61D25">
            <w:pPr>
              <w:spacing w:before="20" w:after="20" w:line="240" w:lineRule="auto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 xml:space="preserve">Արտաքին մթնոլորտային ազդեցությունից պաշտպանվածություն (IP)  լրիվ լուսատուի համար </w:t>
            </w:r>
          </w:p>
        </w:tc>
        <w:tc>
          <w:tcPr>
            <w:tcW w:w="3402" w:type="dxa"/>
            <w:vAlign w:val="center"/>
          </w:tcPr>
          <w:p w14:paraId="7719713C" w14:textId="77777777" w:rsidR="00574CAB" w:rsidRPr="00574CAB" w:rsidRDefault="00574CAB" w:rsidP="00F61D25">
            <w:pPr>
              <w:spacing w:before="20" w:after="20" w:line="240" w:lineRule="auto"/>
              <w:jc w:val="center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>IP65 կամ բարձր</w:t>
            </w:r>
          </w:p>
        </w:tc>
      </w:tr>
      <w:tr w:rsidR="00574CAB" w:rsidRPr="00574CAB" w14:paraId="5DEC887B" w14:textId="77777777" w:rsidTr="00FE75E1">
        <w:trPr>
          <w:jc w:val="center"/>
        </w:trPr>
        <w:tc>
          <w:tcPr>
            <w:tcW w:w="6091" w:type="dxa"/>
          </w:tcPr>
          <w:p w14:paraId="50782CEC" w14:textId="77777777" w:rsidR="00574CAB" w:rsidRPr="00574CAB" w:rsidRDefault="00574CAB" w:rsidP="00F61D25">
            <w:pPr>
              <w:spacing w:before="20" w:after="20" w:line="240" w:lineRule="auto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>Մեխանիկական ազդեցության պաշտպանվածություն  (IK)</w:t>
            </w:r>
          </w:p>
        </w:tc>
        <w:tc>
          <w:tcPr>
            <w:tcW w:w="3402" w:type="dxa"/>
          </w:tcPr>
          <w:p w14:paraId="2D602EB4" w14:textId="77777777" w:rsidR="00574CAB" w:rsidRPr="00574CAB" w:rsidRDefault="00574CAB" w:rsidP="00F61D25">
            <w:pPr>
              <w:spacing w:before="20" w:after="20" w:line="240" w:lineRule="auto"/>
              <w:jc w:val="center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>IK07 կամ բարձր</w:t>
            </w:r>
          </w:p>
        </w:tc>
      </w:tr>
      <w:tr w:rsidR="00574CAB" w:rsidRPr="00574CAB" w14:paraId="64D0B13E" w14:textId="77777777" w:rsidTr="00FE75E1">
        <w:trPr>
          <w:jc w:val="center"/>
        </w:trPr>
        <w:tc>
          <w:tcPr>
            <w:tcW w:w="6091" w:type="dxa"/>
          </w:tcPr>
          <w:p w14:paraId="043EAB54" w14:textId="77777777" w:rsidR="00574CAB" w:rsidRPr="00574CAB" w:rsidRDefault="00574CAB" w:rsidP="00F61D25">
            <w:pPr>
              <w:spacing w:before="20" w:after="20" w:line="240" w:lineRule="auto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>Իրանի նյութ</w:t>
            </w:r>
          </w:p>
        </w:tc>
        <w:tc>
          <w:tcPr>
            <w:tcW w:w="3402" w:type="dxa"/>
          </w:tcPr>
          <w:p w14:paraId="733F774D" w14:textId="77777777" w:rsidR="00574CAB" w:rsidRPr="00574CAB" w:rsidRDefault="00574CAB" w:rsidP="00F61D25">
            <w:pPr>
              <w:spacing w:before="20" w:after="20" w:line="240" w:lineRule="auto"/>
              <w:jc w:val="center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>Ձուլված ալյումին</w:t>
            </w:r>
          </w:p>
        </w:tc>
      </w:tr>
      <w:tr w:rsidR="00574CAB" w:rsidRPr="00574CAB" w14:paraId="513BBF6C" w14:textId="77777777" w:rsidTr="00FE75E1">
        <w:trPr>
          <w:jc w:val="center"/>
        </w:trPr>
        <w:tc>
          <w:tcPr>
            <w:tcW w:w="6091" w:type="dxa"/>
          </w:tcPr>
          <w:p w14:paraId="543466B5" w14:textId="77777777" w:rsidR="00574CAB" w:rsidRPr="00574CAB" w:rsidRDefault="00574CAB" w:rsidP="00F61D25">
            <w:pPr>
              <w:spacing w:before="20" w:after="20" w:line="240" w:lineRule="auto"/>
              <w:rPr>
                <w:rFonts w:ascii="GHEA Grapalat" w:eastAsia="Times New Roman" w:hAnsi="GHEA Grapalat" w:cs="Arial"/>
                <w:lang w:val="hy-AM"/>
              </w:rPr>
            </w:pPr>
            <w:r w:rsidRPr="00574CAB">
              <w:rPr>
                <w:rFonts w:ascii="GHEA Grapalat" w:eastAsia="Times New Roman" w:hAnsi="GHEA Grapalat" w:cs="Arial"/>
                <w:lang w:val="hy-AM"/>
              </w:rPr>
              <w:t xml:space="preserve">Երաշխիքային ժամկետ </w:t>
            </w:r>
          </w:p>
        </w:tc>
        <w:tc>
          <w:tcPr>
            <w:tcW w:w="3402" w:type="dxa"/>
          </w:tcPr>
          <w:p w14:paraId="79551CB8" w14:textId="78DF2C24" w:rsidR="00574CAB" w:rsidRPr="00574CAB" w:rsidRDefault="00654857" w:rsidP="00F61D25">
            <w:pPr>
              <w:spacing w:before="20" w:after="20" w:line="240" w:lineRule="auto"/>
              <w:jc w:val="center"/>
              <w:rPr>
                <w:rFonts w:ascii="GHEA Grapalat" w:eastAsia="Times New Roman" w:hAnsi="GHEA Grapalat" w:cs="Arial"/>
                <w:lang w:val="hy-AM"/>
              </w:rPr>
            </w:pPr>
            <w:r>
              <w:rPr>
                <w:rFonts w:ascii="GHEA Grapalat" w:eastAsia="Times New Roman" w:hAnsi="GHEA Grapalat" w:cs="Arial"/>
                <w:lang w:val="hy-AM"/>
              </w:rPr>
              <w:t>3</w:t>
            </w:r>
            <w:r w:rsidR="00574CAB" w:rsidRPr="00574CAB">
              <w:rPr>
                <w:rFonts w:ascii="GHEA Grapalat" w:eastAsia="Times New Roman" w:hAnsi="GHEA Grapalat" w:cs="Arial"/>
                <w:lang w:val="hy-AM"/>
              </w:rPr>
              <w:t xml:space="preserve"> տարի</w:t>
            </w:r>
          </w:p>
        </w:tc>
      </w:tr>
    </w:tbl>
    <w:p w14:paraId="464D3A3D" w14:textId="77777777" w:rsidR="000E1CD3" w:rsidRDefault="000E1CD3" w:rsidP="000E1CD3">
      <w:pPr>
        <w:spacing w:before="240" w:after="120" w:line="240" w:lineRule="auto"/>
        <w:contextualSpacing/>
        <w:jc w:val="both"/>
        <w:rPr>
          <w:rFonts w:ascii="GHEA Grapalat" w:hAnsi="GHEA Grapalat" w:cs="Arial"/>
          <w:lang w:val="hy-AM"/>
        </w:rPr>
      </w:pPr>
    </w:p>
    <w:p w14:paraId="24A31015" w14:textId="3D5ACF15" w:rsidR="00574CAB" w:rsidRPr="00574CAB" w:rsidRDefault="00574CAB" w:rsidP="000E1CD3">
      <w:pPr>
        <w:spacing w:before="240" w:after="120" w:line="240" w:lineRule="auto"/>
        <w:contextualSpacing/>
        <w:jc w:val="both"/>
        <w:rPr>
          <w:rFonts w:ascii="GHEA Grapalat" w:hAnsi="GHEA Grapalat" w:cs="Arial"/>
          <w:lang w:val="hy-AM"/>
        </w:rPr>
      </w:pPr>
      <w:r w:rsidRPr="00574CAB">
        <w:rPr>
          <w:rFonts w:ascii="GHEA Grapalat" w:hAnsi="GHEA Grapalat" w:cs="Arial"/>
          <w:lang w:val="hy-AM"/>
        </w:rPr>
        <w:t xml:space="preserve">Լուսատուն պետք է համապատասխանեն որակի հետևյալ ստանդարտներին, </w:t>
      </w:r>
      <w:r w:rsidR="00492EEB">
        <w:rPr>
          <w:rFonts w:ascii="GHEA Grapalat" w:hAnsi="GHEA Grapalat" w:cs="Arial"/>
          <w:lang w:val="hy-AM"/>
        </w:rPr>
        <w:t>ինչը</w:t>
      </w:r>
      <w:r w:rsidRPr="00574CAB">
        <w:rPr>
          <w:rFonts w:ascii="GHEA Grapalat" w:hAnsi="GHEA Grapalat" w:cs="Arial"/>
          <w:lang w:val="hy-AM"/>
        </w:rPr>
        <w:t xml:space="preserve"> պետք է հաստատված լինեն  համապատասխանության հայտարարագրով և վկայագրերով՝     </w:t>
      </w:r>
    </w:p>
    <w:p w14:paraId="1EACC56E" w14:textId="77777777" w:rsidR="00574CAB" w:rsidRPr="00574CAB" w:rsidRDefault="00574CAB" w:rsidP="00574CAB">
      <w:pPr>
        <w:pStyle w:val="ListParagraph"/>
        <w:numPr>
          <w:ilvl w:val="0"/>
          <w:numId w:val="1"/>
        </w:numPr>
        <w:spacing w:before="60" w:after="0" w:line="240" w:lineRule="auto"/>
        <w:rPr>
          <w:rFonts w:ascii="GHEA Grapalat" w:hAnsi="GHEA Grapalat" w:cs="Arial"/>
          <w:i/>
        </w:rPr>
      </w:pPr>
      <w:r w:rsidRPr="00574CAB">
        <w:rPr>
          <w:rFonts w:ascii="GHEA Grapalat" w:hAnsi="GHEA Grapalat" w:cs="Arial"/>
          <w:i/>
        </w:rPr>
        <w:t xml:space="preserve">EN 60598-1 - Լուսատուներ – Ընդհանուր պահանջներ և փորձարկում </w:t>
      </w:r>
    </w:p>
    <w:p w14:paraId="651ED198" w14:textId="77777777" w:rsidR="00574CAB" w:rsidRPr="00574CAB" w:rsidRDefault="00574CAB" w:rsidP="00574CAB">
      <w:pPr>
        <w:pStyle w:val="ListParagraph"/>
        <w:numPr>
          <w:ilvl w:val="0"/>
          <w:numId w:val="1"/>
        </w:numPr>
        <w:spacing w:before="60" w:after="0" w:line="240" w:lineRule="auto"/>
        <w:rPr>
          <w:rFonts w:ascii="GHEA Grapalat" w:hAnsi="GHEA Grapalat" w:cs="Arial"/>
          <w:i/>
        </w:rPr>
      </w:pPr>
      <w:r w:rsidRPr="00574CAB">
        <w:rPr>
          <w:rFonts w:ascii="GHEA Grapalat" w:hAnsi="GHEA Grapalat" w:cs="Arial"/>
          <w:i/>
        </w:rPr>
        <w:t xml:space="preserve">EN 60598-2-3 -  Ճանապարհային և փողոցային լուսավորության  համար նախատեսված լուսատուներ </w:t>
      </w:r>
    </w:p>
    <w:p w14:paraId="6A5B9CBE" w14:textId="77777777" w:rsidR="00574CAB" w:rsidRPr="00574CAB" w:rsidRDefault="00574CAB" w:rsidP="00574CAB">
      <w:pPr>
        <w:pStyle w:val="ListParagraph"/>
        <w:numPr>
          <w:ilvl w:val="0"/>
          <w:numId w:val="1"/>
        </w:numPr>
        <w:spacing w:before="60" w:after="0" w:line="240" w:lineRule="auto"/>
        <w:rPr>
          <w:rFonts w:ascii="GHEA Grapalat" w:hAnsi="GHEA Grapalat" w:cs="Arial"/>
          <w:i/>
        </w:rPr>
      </w:pPr>
      <w:r w:rsidRPr="00574CAB">
        <w:rPr>
          <w:rFonts w:ascii="GHEA Grapalat" w:hAnsi="GHEA Grapalat" w:cs="Arial"/>
          <w:i/>
        </w:rPr>
        <w:t xml:space="preserve">EN 55015 – Էլեկտրական լուսատուների և նմանատիպ սարքավորումների ռադիո խանգարումների բնութագրերի սահմանները և չափման մեթոդները </w:t>
      </w:r>
    </w:p>
    <w:p w14:paraId="57990DC6" w14:textId="77777777" w:rsidR="00574CAB" w:rsidRPr="00574CAB" w:rsidRDefault="00574CAB" w:rsidP="00574CAB">
      <w:pPr>
        <w:pStyle w:val="ListParagraph"/>
        <w:numPr>
          <w:ilvl w:val="0"/>
          <w:numId w:val="1"/>
        </w:numPr>
        <w:spacing w:before="60" w:after="0" w:line="240" w:lineRule="auto"/>
        <w:rPr>
          <w:rFonts w:ascii="GHEA Grapalat" w:hAnsi="GHEA Grapalat" w:cs="Arial"/>
          <w:i/>
        </w:rPr>
      </w:pPr>
      <w:r w:rsidRPr="00574CAB">
        <w:rPr>
          <w:rFonts w:ascii="GHEA Grapalat" w:hAnsi="GHEA Grapalat" w:cs="Arial"/>
          <w:i/>
        </w:rPr>
        <w:t xml:space="preserve">EN 61000-3-X -  Հոսանքի վրա ազդեցության հարմոնիկաների սահմանները </w:t>
      </w:r>
    </w:p>
    <w:p w14:paraId="25B23C39" w14:textId="77777777" w:rsidR="00574CAB" w:rsidRPr="00574CAB" w:rsidRDefault="00574CAB" w:rsidP="00574CAB">
      <w:pPr>
        <w:pStyle w:val="ListParagraph"/>
        <w:numPr>
          <w:ilvl w:val="0"/>
          <w:numId w:val="1"/>
        </w:numPr>
        <w:spacing w:before="60" w:after="0" w:line="240" w:lineRule="auto"/>
        <w:rPr>
          <w:rFonts w:ascii="GHEA Grapalat" w:hAnsi="GHEA Grapalat" w:cs="Arial"/>
          <w:i/>
        </w:rPr>
      </w:pPr>
      <w:r w:rsidRPr="00574CAB">
        <w:rPr>
          <w:rFonts w:ascii="GHEA Grapalat" w:hAnsi="GHEA Grapalat" w:cs="Arial"/>
          <w:i/>
        </w:rPr>
        <w:t>EN 61000-4-X – Էլեկտրամագնիսական համատեղելիություն y (EMC)</w:t>
      </w:r>
    </w:p>
    <w:p w14:paraId="41BD21A3" w14:textId="77777777" w:rsidR="00574CAB" w:rsidRPr="00574CAB" w:rsidRDefault="00574CAB" w:rsidP="00574CAB">
      <w:pPr>
        <w:pStyle w:val="ListParagraph"/>
        <w:numPr>
          <w:ilvl w:val="0"/>
          <w:numId w:val="1"/>
        </w:numPr>
        <w:spacing w:before="60" w:after="0" w:line="240" w:lineRule="auto"/>
        <w:rPr>
          <w:rFonts w:ascii="GHEA Grapalat" w:hAnsi="GHEA Grapalat" w:cs="Arial"/>
          <w:i/>
        </w:rPr>
      </w:pPr>
      <w:r w:rsidRPr="00574CAB">
        <w:rPr>
          <w:rFonts w:ascii="GHEA Grapalat" w:hAnsi="GHEA Grapalat" w:cs="Arial"/>
          <w:i/>
        </w:rPr>
        <w:t xml:space="preserve">EN 61547 – Ընդհանուր լուսավորության սարքավորումներ, պաշտպանվածության  պահանջներ </w:t>
      </w:r>
    </w:p>
    <w:p w14:paraId="0FC03645" w14:textId="77777777" w:rsidR="00574CAB" w:rsidRPr="00574CAB" w:rsidRDefault="00574CAB" w:rsidP="00574CAB">
      <w:pPr>
        <w:pStyle w:val="ListParagraph"/>
        <w:numPr>
          <w:ilvl w:val="0"/>
          <w:numId w:val="1"/>
        </w:numPr>
        <w:spacing w:before="60" w:after="0" w:line="240" w:lineRule="auto"/>
        <w:rPr>
          <w:rFonts w:ascii="GHEA Grapalat" w:hAnsi="GHEA Grapalat" w:cs="Arial"/>
          <w:i/>
        </w:rPr>
      </w:pPr>
      <w:r w:rsidRPr="00574CAB">
        <w:rPr>
          <w:rFonts w:ascii="GHEA Grapalat" w:hAnsi="GHEA Grapalat" w:cs="Arial"/>
          <w:i/>
        </w:rPr>
        <w:t xml:space="preserve">EN 62031 – Ընդհանուր լուսավորության ԼԴ մոդուլներ – անվտանգության մասնագիր </w:t>
      </w:r>
    </w:p>
    <w:p w14:paraId="5BEEB68D" w14:textId="77777777" w:rsidR="00574CAB" w:rsidRPr="00574CAB" w:rsidRDefault="00574CAB" w:rsidP="00574CAB">
      <w:pPr>
        <w:pStyle w:val="ListParagraph"/>
        <w:numPr>
          <w:ilvl w:val="0"/>
          <w:numId w:val="1"/>
        </w:numPr>
        <w:spacing w:before="120" w:after="0" w:line="240" w:lineRule="auto"/>
        <w:ind w:left="782" w:hanging="357"/>
        <w:rPr>
          <w:rFonts w:ascii="GHEA Grapalat" w:hAnsi="GHEA Grapalat" w:cs="Arial"/>
          <w:i/>
        </w:rPr>
      </w:pPr>
      <w:r w:rsidRPr="00574CAB">
        <w:rPr>
          <w:rFonts w:ascii="GHEA Grapalat" w:hAnsi="GHEA Grapalat" w:cs="Arial"/>
          <w:i/>
        </w:rPr>
        <w:t>EN 60529 –Արտաքին ազդեցության հանդեպ պաշտպանվածության աստիճան (IP)</w:t>
      </w:r>
    </w:p>
    <w:p w14:paraId="362E539E" w14:textId="77777777" w:rsidR="00EC353B" w:rsidRPr="00574CAB" w:rsidRDefault="00EC353B">
      <w:pPr>
        <w:rPr>
          <w:lang w:val="hy-AM"/>
        </w:rPr>
      </w:pPr>
    </w:p>
    <w:p w14:paraId="2A4A9B6F" w14:textId="4AA675F6" w:rsidR="001C2AE8" w:rsidRPr="00574CAB" w:rsidRDefault="001C2AE8">
      <w:pPr>
        <w:rPr>
          <w:lang w:val="hy-AM"/>
        </w:rPr>
      </w:pPr>
    </w:p>
    <w:p w14:paraId="6F07D81C" w14:textId="56D6C74A" w:rsidR="001C2AE8" w:rsidRPr="001C2AE8" w:rsidRDefault="001C2AE8" w:rsidP="001C2AE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hy-AM"/>
        </w:rPr>
      </w:pPr>
    </w:p>
    <w:p w14:paraId="1AFAA941" w14:textId="77777777" w:rsidR="001C2AE8" w:rsidRPr="001C2AE8" w:rsidRDefault="001C2AE8" w:rsidP="001C2AE8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hAnsi="Times New Roman" w:cs="Times New Roman"/>
          <w:sz w:val="2"/>
          <w:szCs w:val="2"/>
          <w:lang w:val="hy-AM"/>
        </w:rPr>
      </w:pPr>
    </w:p>
    <w:p w14:paraId="65012251" w14:textId="498A50B0" w:rsidR="001C2AE8" w:rsidRPr="00F43A92" w:rsidRDefault="001C2AE8" w:rsidP="001C2AE8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sz w:val="20"/>
          <w:szCs w:val="20"/>
          <w:lang w:val="hy-AM"/>
        </w:rPr>
      </w:pPr>
    </w:p>
    <w:p w14:paraId="1D3BD87D" w14:textId="11EE0EEB" w:rsidR="001C2AE8" w:rsidRPr="00F43A92" w:rsidRDefault="001C2AE8" w:rsidP="001C2AE8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sz w:val="20"/>
          <w:szCs w:val="20"/>
          <w:lang w:val="hy-AM"/>
        </w:rPr>
      </w:pPr>
    </w:p>
    <w:p w14:paraId="5951C58F" w14:textId="77777777" w:rsidR="001C2AE8" w:rsidRPr="00DE1EA7" w:rsidRDefault="001C2AE8" w:rsidP="001C2AE8">
      <w:pPr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hAnsi="Times New Roman" w:cs="Times New Roman"/>
          <w:sz w:val="2"/>
          <w:szCs w:val="2"/>
          <w:lang w:val="hy-AM"/>
        </w:rPr>
      </w:pPr>
    </w:p>
    <w:p w14:paraId="3114D7F7" w14:textId="4A4B716F" w:rsidR="001C2AE8" w:rsidRPr="00F43A92" w:rsidRDefault="001C2AE8" w:rsidP="001C2AE8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sz w:val="20"/>
          <w:szCs w:val="20"/>
          <w:lang w:val="hy-AM"/>
        </w:rPr>
      </w:pPr>
    </w:p>
    <w:p w14:paraId="39A1E3DD" w14:textId="77777777" w:rsidR="001C2AE8" w:rsidRPr="00F43A92" w:rsidRDefault="001C2AE8" w:rsidP="001C2AE8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sz w:val="20"/>
          <w:szCs w:val="20"/>
          <w:lang w:val="hy-AM"/>
        </w:rPr>
      </w:pPr>
    </w:p>
    <w:p w14:paraId="6F08356E" w14:textId="28F81F90" w:rsidR="001C2AE8" w:rsidRPr="00F43A92" w:rsidRDefault="001C2AE8">
      <w:pPr>
        <w:rPr>
          <w:lang w:val="hy-AM"/>
        </w:rPr>
      </w:pPr>
    </w:p>
    <w:p w14:paraId="51DF9F18" w14:textId="5BF22058" w:rsidR="001C2AE8" w:rsidRPr="00F43A92" w:rsidRDefault="001C2AE8">
      <w:pPr>
        <w:rPr>
          <w:lang w:val="hy-AM"/>
        </w:rPr>
      </w:pPr>
    </w:p>
    <w:sectPr w:rsidR="001C2AE8" w:rsidRPr="00F43A92" w:rsidSect="008F745B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D129A0"/>
    <w:multiLevelType w:val="hybridMultilevel"/>
    <w:tmpl w:val="F2507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C34"/>
    <w:multiLevelType w:val="hybridMultilevel"/>
    <w:tmpl w:val="D8D61146"/>
    <w:lvl w:ilvl="0" w:tplc="85967216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  <w:lang w:val="hy-AM"/>
      </w:rPr>
    </w:lvl>
    <w:lvl w:ilvl="1" w:tplc="08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AE8"/>
    <w:rsid w:val="00025E6B"/>
    <w:rsid w:val="00027E69"/>
    <w:rsid w:val="00046617"/>
    <w:rsid w:val="000E1CD3"/>
    <w:rsid w:val="001C2AE8"/>
    <w:rsid w:val="002D6D3E"/>
    <w:rsid w:val="00492EEB"/>
    <w:rsid w:val="004C38A1"/>
    <w:rsid w:val="00515B13"/>
    <w:rsid w:val="00574CAB"/>
    <w:rsid w:val="005F71FD"/>
    <w:rsid w:val="00654857"/>
    <w:rsid w:val="007602C0"/>
    <w:rsid w:val="008F745B"/>
    <w:rsid w:val="00A16C8A"/>
    <w:rsid w:val="00C86389"/>
    <w:rsid w:val="00DE1EA7"/>
    <w:rsid w:val="00EC353B"/>
    <w:rsid w:val="00F43A92"/>
    <w:rsid w:val="00FB30B5"/>
    <w:rsid w:val="00FE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D3EFE1"/>
  <w15:chartTrackingRefBased/>
  <w15:docId w15:val="{9816EC47-4F44-4EFB-A656-BC3FA13E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C2AE8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Arial Unicode MS"/>
      <w:sz w:val="11"/>
      <w:szCs w:val="11"/>
    </w:rPr>
  </w:style>
  <w:style w:type="character" w:customStyle="1" w:styleId="BodyTextChar">
    <w:name w:val="Body Text Char"/>
    <w:basedOn w:val="DefaultParagraphFont"/>
    <w:link w:val="BodyText"/>
    <w:uiPriority w:val="1"/>
    <w:rsid w:val="001C2AE8"/>
    <w:rPr>
      <w:rFonts w:ascii="Arial Unicode MS" w:eastAsia="Arial Unicode MS" w:hAnsi="Times New Roman" w:cs="Arial Unicode MS"/>
      <w:sz w:val="11"/>
      <w:szCs w:val="11"/>
    </w:rPr>
  </w:style>
  <w:style w:type="paragraph" w:styleId="ListParagraph">
    <w:name w:val="List Paragraph"/>
    <w:basedOn w:val="Normal"/>
    <w:uiPriority w:val="1"/>
    <w:qFormat/>
    <w:rsid w:val="00574CA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50000hrs@Ta=25&#8451;(L70,B10)%20%20%20Power%20drive%20quarantee%205%20year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AG</cp:lastModifiedBy>
  <cp:revision>5</cp:revision>
  <dcterms:created xsi:type="dcterms:W3CDTF">2020-05-11T15:01:00Z</dcterms:created>
  <dcterms:modified xsi:type="dcterms:W3CDTF">2020-05-12T09:15:00Z</dcterms:modified>
</cp:coreProperties>
</file>